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92E96" w14:textId="77777777" w:rsidR="00D068A7" w:rsidRDefault="00D068A7" w:rsidP="00D068A7">
      <w:pPr>
        <w:pStyle w:val="CRCoverPage"/>
        <w:tabs>
          <w:tab w:val="right" w:pos="9638"/>
        </w:tabs>
        <w:spacing w:after="0"/>
        <w:rPr>
          <w:rFonts w:cs="Arial"/>
          <w:b/>
          <w:noProof/>
          <w:sz w:val="24"/>
        </w:rPr>
      </w:pPr>
      <w:r>
        <w:rPr>
          <w:rFonts w:cs="Arial"/>
          <w:b/>
          <w:noProof/>
          <w:sz w:val="24"/>
        </w:rPr>
        <w:t>SA WG2 Meeting #S2-132</w:t>
      </w:r>
      <w:r>
        <w:rPr>
          <w:rFonts w:cs="Arial"/>
          <w:b/>
          <w:noProof/>
          <w:sz w:val="24"/>
        </w:rPr>
        <w:tab/>
        <w:t>S2-1904591</w:t>
      </w:r>
    </w:p>
    <w:p w14:paraId="252FFEB9" w14:textId="77777777" w:rsidR="00D068A7" w:rsidRDefault="00D068A7" w:rsidP="00D068A7">
      <w:pPr>
        <w:pStyle w:val="CRCoverPage"/>
        <w:pBdr>
          <w:bottom w:val="single" w:sz="6" w:space="0" w:color="auto"/>
        </w:pBdr>
        <w:tabs>
          <w:tab w:val="right" w:pos="9638"/>
        </w:tabs>
        <w:spacing w:after="0"/>
        <w:rPr>
          <w:rFonts w:cs="Arial"/>
          <w:b/>
          <w:noProof/>
          <w:sz w:val="24"/>
        </w:rPr>
      </w:pPr>
      <w:r>
        <w:rPr>
          <w:rFonts w:cs="Arial"/>
          <w:b/>
          <w:noProof/>
          <w:sz w:val="24"/>
        </w:rPr>
        <w:t>08 - 12 April, 2019, Xi'an China</w:t>
      </w:r>
    </w:p>
    <w:p w14:paraId="118B4E68" w14:textId="236CEF95" w:rsidR="00D068A7" w:rsidRPr="00D068A7" w:rsidRDefault="00D068A7" w:rsidP="00D068A7">
      <w:pPr>
        <w:pStyle w:val="CRCoverPage"/>
        <w:tabs>
          <w:tab w:val="right" w:pos="9638"/>
        </w:tabs>
        <w:spacing w:after="0"/>
        <w:rPr>
          <w:rFonts w:cs="Arial"/>
          <w:b/>
          <w:noProof/>
          <w:sz w:val="24"/>
        </w:rPr>
      </w:pPr>
    </w:p>
    <w:p w14:paraId="6ED4B1E1" w14:textId="284BB36A" w:rsidR="00A7348D" w:rsidRDefault="00A7348D" w:rsidP="00A7348D">
      <w:pPr>
        <w:pStyle w:val="CRCoverPage"/>
        <w:tabs>
          <w:tab w:val="right" w:pos="9639"/>
        </w:tabs>
        <w:spacing w:after="0"/>
        <w:rPr>
          <w:b/>
          <w:i/>
          <w:noProof/>
          <w:sz w:val="28"/>
        </w:rPr>
      </w:pPr>
      <w:bookmarkStart w:id="0" w:name="_GoBack"/>
      <w:bookmarkEnd w:id="0"/>
      <w:r>
        <w:rPr>
          <w:b/>
          <w:noProof/>
          <w:sz w:val="24"/>
        </w:rPr>
        <w:t>3GPP TSG-CT WG4 Meeting #90</w:t>
      </w:r>
      <w:r>
        <w:rPr>
          <w:b/>
          <w:i/>
          <w:noProof/>
          <w:sz w:val="28"/>
        </w:rPr>
        <w:tab/>
      </w:r>
      <w:r>
        <w:rPr>
          <w:b/>
          <w:noProof/>
          <w:sz w:val="24"/>
        </w:rPr>
        <w:t>C4-19</w:t>
      </w:r>
      <w:r w:rsidR="00CF049A">
        <w:rPr>
          <w:b/>
          <w:noProof/>
          <w:sz w:val="24"/>
        </w:rPr>
        <w:t>1313</w:t>
      </w:r>
    </w:p>
    <w:p w14:paraId="70B904A3" w14:textId="77777777" w:rsidR="00A7348D" w:rsidRDefault="00A7348D" w:rsidP="00A7348D">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9CCEE97" w:rsidR="00463675" w:rsidRPr="000F4E43" w:rsidRDefault="00463675" w:rsidP="000F4E43">
      <w:pPr>
        <w:pStyle w:val="Title"/>
      </w:pPr>
      <w:r w:rsidRPr="000F4E43">
        <w:t>Title:</w:t>
      </w:r>
      <w:r w:rsidRPr="000F4E43">
        <w:tab/>
      </w:r>
      <w:r w:rsidR="00F0649B" w:rsidRPr="00156F6F">
        <w:t>L</w:t>
      </w:r>
      <w:r w:rsidRPr="00156F6F">
        <w:t xml:space="preserve">S on </w:t>
      </w:r>
      <w:r w:rsidR="00156F6F" w:rsidRPr="00156F6F">
        <w:t>Status of FS_eIMS5G</w:t>
      </w:r>
    </w:p>
    <w:p w14:paraId="65004854" w14:textId="61E1525E" w:rsidR="00463675" w:rsidRPr="00156F6F" w:rsidRDefault="00463675" w:rsidP="000F4E43">
      <w:pPr>
        <w:pStyle w:val="Title"/>
      </w:pPr>
      <w:r w:rsidRPr="00156F6F">
        <w:t>Response to:</w:t>
      </w:r>
      <w:r w:rsidRPr="00156F6F">
        <w:tab/>
        <w:t>LS (</w:t>
      </w:r>
      <w:r w:rsidR="00156F6F" w:rsidRPr="00156F6F">
        <w:t>S2</w:t>
      </w:r>
      <w:r w:rsidRPr="00156F6F">
        <w:t>-</w:t>
      </w:r>
      <w:r w:rsidR="00156F6F" w:rsidRPr="00156F6F">
        <w:t>1901397</w:t>
      </w:r>
      <w:r w:rsidRPr="00156F6F">
        <w:t xml:space="preserve">) on </w:t>
      </w:r>
      <w:r w:rsidR="00156F6F" w:rsidRPr="00156F6F">
        <w:t xml:space="preserve">Status of FS_eIMS5G </w:t>
      </w:r>
      <w:r w:rsidRPr="00156F6F">
        <w:t xml:space="preserve">from </w:t>
      </w:r>
      <w:r w:rsidR="00156F6F" w:rsidRPr="00156F6F">
        <w:t>SA2</w:t>
      </w:r>
    </w:p>
    <w:p w14:paraId="56E3B846" w14:textId="0366CC00" w:rsidR="00463675" w:rsidRPr="000F4E43" w:rsidRDefault="00463675" w:rsidP="000F4E43">
      <w:pPr>
        <w:pStyle w:val="Title"/>
      </w:pPr>
      <w:r w:rsidRPr="000F4E43">
        <w:t>Release:</w:t>
      </w:r>
      <w:r w:rsidRPr="000F4E43">
        <w:tab/>
      </w:r>
      <w:r w:rsidR="00156F6F">
        <w:t>Release 16</w:t>
      </w:r>
    </w:p>
    <w:p w14:paraId="792135A2" w14:textId="0658FF2E" w:rsidR="00463675" w:rsidRPr="000F4E43" w:rsidRDefault="00463675" w:rsidP="000F4E43">
      <w:pPr>
        <w:pStyle w:val="Title"/>
      </w:pPr>
      <w:r w:rsidRPr="000F4E43">
        <w:t>Work Item:</w:t>
      </w:r>
      <w:r w:rsidRPr="000F4E43">
        <w:tab/>
      </w:r>
      <w:r w:rsidR="00156F6F">
        <w:t>FS_eIMS5G</w:t>
      </w:r>
    </w:p>
    <w:p w14:paraId="0A1390C0" w14:textId="77777777" w:rsidR="00463675" w:rsidRPr="000F4E43" w:rsidRDefault="00463675">
      <w:pPr>
        <w:spacing w:after="60"/>
        <w:ind w:left="1985" w:hanging="1985"/>
        <w:rPr>
          <w:rFonts w:ascii="Arial" w:hAnsi="Arial" w:cs="Arial"/>
          <w:b/>
        </w:rPr>
      </w:pPr>
    </w:p>
    <w:p w14:paraId="2BA4C3D5" w14:textId="3E4FE8CC" w:rsidR="00463675" w:rsidRPr="000F4E43" w:rsidRDefault="00463675" w:rsidP="000F4E43">
      <w:pPr>
        <w:pStyle w:val="Source"/>
      </w:pPr>
      <w:r w:rsidRPr="000F4E43">
        <w:t>Source:</w:t>
      </w:r>
      <w:r w:rsidRPr="000F4E43">
        <w:tab/>
      </w:r>
      <w:r w:rsidR="00156F6F">
        <w:t>CT4</w:t>
      </w:r>
    </w:p>
    <w:p w14:paraId="6AF9910D" w14:textId="684ABDB6" w:rsidR="00463675" w:rsidRPr="000F4E43" w:rsidRDefault="00463675" w:rsidP="000F4E43">
      <w:pPr>
        <w:pStyle w:val="Source"/>
      </w:pPr>
      <w:r w:rsidRPr="000F4E43">
        <w:t>To:</w:t>
      </w:r>
      <w:r w:rsidRPr="000F4E43">
        <w:tab/>
      </w:r>
      <w:r w:rsidR="00156F6F">
        <w:t>SA2</w:t>
      </w:r>
    </w:p>
    <w:p w14:paraId="033E954A" w14:textId="291AC834"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27ABDC6" w:rsidR="00463675" w:rsidRPr="000F4E43" w:rsidRDefault="00463675" w:rsidP="000F4E43">
      <w:pPr>
        <w:pStyle w:val="Contact"/>
        <w:tabs>
          <w:tab w:val="clear" w:pos="2268"/>
        </w:tabs>
        <w:rPr>
          <w:bCs/>
        </w:rPr>
      </w:pPr>
      <w:r w:rsidRPr="000F4E43">
        <w:t>Name:</w:t>
      </w:r>
      <w:r w:rsidRPr="000F4E43">
        <w:rPr>
          <w:bCs/>
        </w:rPr>
        <w:tab/>
      </w:r>
      <w:r w:rsidR="00156F6F">
        <w:rPr>
          <w:bCs/>
        </w:rPr>
        <w:t xml:space="preserve">Ulrich </w:t>
      </w:r>
      <w:proofErr w:type="spellStart"/>
      <w:r w:rsidR="00156F6F">
        <w:rPr>
          <w:bCs/>
        </w:rPr>
        <w:t>Wiehe</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757A04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6F6F">
        <w:rPr>
          <w:bCs/>
          <w:color w:val="0000FF"/>
        </w:rPr>
        <w:t>ulrich.wiehe@nokia.com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9C45B3" w:rsidR="00463675" w:rsidRPr="000F4E43" w:rsidRDefault="00463675" w:rsidP="000F4E43">
      <w:pPr>
        <w:pStyle w:val="Title"/>
      </w:pPr>
      <w:r w:rsidRPr="000F4E43">
        <w:t>Attachments:</w:t>
      </w:r>
      <w:r w:rsidRPr="000F4E43">
        <w:tab/>
      </w:r>
      <w:r w:rsidR="00156F6F">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275DB4B" w14:textId="3C1D2E04" w:rsidR="00463675" w:rsidRDefault="002C2592">
      <w:pPr>
        <w:rPr>
          <w:rFonts w:ascii="Arial" w:hAnsi="Arial" w:cs="Arial"/>
        </w:rPr>
      </w:pPr>
      <w:r w:rsidRPr="002C2592">
        <w:rPr>
          <w:rFonts w:ascii="Arial" w:hAnsi="Arial" w:cs="Arial"/>
        </w:rPr>
        <w:t>CT4 thank SA2 for their LS on Status of FS_eIMS5G</w:t>
      </w:r>
      <w:r w:rsidR="004A36FB">
        <w:rPr>
          <w:rFonts w:ascii="Arial" w:hAnsi="Arial" w:cs="Arial"/>
        </w:rPr>
        <w:t>, and answer SA2’s questions as follows:</w:t>
      </w:r>
    </w:p>
    <w:p w14:paraId="5934BC12" w14:textId="571FED22" w:rsidR="002C2592" w:rsidRDefault="002C2592">
      <w:pPr>
        <w:rPr>
          <w:rFonts w:ascii="Arial" w:hAnsi="Arial" w:cs="Arial"/>
          <w:i/>
          <w:iCs/>
        </w:rPr>
      </w:pPr>
    </w:p>
    <w:p w14:paraId="11A9615C" w14:textId="77777777" w:rsidR="004A36FB" w:rsidRDefault="004A36FB" w:rsidP="004A36FB">
      <w:pPr>
        <w:pStyle w:val="B1"/>
      </w:pPr>
      <w:r>
        <w:t>Q1)</w:t>
      </w:r>
      <w:r>
        <w:tab/>
        <w:t>On the matter of repository(transparent) data between the IMS-AS and applicable database; what is the feasibility and the impacts to stage 3 specifications of directly routing from a SBA enabled IMS-AS to the UDR?</w:t>
      </w:r>
    </w:p>
    <w:p w14:paraId="45097C45" w14:textId="77777777" w:rsidR="000E296A" w:rsidRDefault="000E296A" w:rsidP="000E296A">
      <w:pPr>
        <w:pStyle w:val="B1"/>
        <w:rPr>
          <w:rFonts w:ascii="Calibri" w:hAnsi="Calibri"/>
          <w:lang w:val="en-US"/>
        </w:rPr>
      </w:pPr>
      <w:r>
        <w:rPr>
          <w:lang w:val="en-US"/>
        </w:rPr>
        <w:t xml:space="preserve">Answer: CT4’s understanding is that the applicable database where IMS-AS transparent data are stored is the User Data Repository as specified in 23.335 and is not the Unified Data Repository as specified in 23.501. The User Data Repository can be accessed by the HSS via the non-fully standardized </w:t>
      </w:r>
      <w:proofErr w:type="spellStart"/>
      <w:r>
        <w:rPr>
          <w:lang w:val="en-US"/>
        </w:rPr>
        <w:t>Ud</w:t>
      </w:r>
      <w:proofErr w:type="spellEnd"/>
      <w:r>
        <w:rPr>
          <w:lang w:val="en-US"/>
        </w:rPr>
        <w:t xml:space="preserve"> interface. Direct routing from an (SBA enabled) IMS-AS to the User Data Repository is not feasible as this requires to fully specify the LDAP-based </w:t>
      </w:r>
      <w:proofErr w:type="spellStart"/>
      <w:r>
        <w:rPr>
          <w:lang w:val="en-US"/>
        </w:rPr>
        <w:t>Ud</w:t>
      </w:r>
      <w:proofErr w:type="spellEnd"/>
      <w:r>
        <w:rPr>
          <w:lang w:val="en-US"/>
        </w:rPr>
        <w:t xml:space="preserve"> interface (29.335). </w:t>
      </w:r>
    </w:p>
    <w:p w14:paraId="7212F14E" w14:textId="77777777" w:rsidR="004A36FB" w:rsidRDefault="004A36FB" w:rsidP="004A36FB">
      <w:pPr>
        <w:pStyle w:val="B1"/>
      </w:pPr>
    </w:p>
    <w:p w14:paraId="2C8E35B1" w14:textId="77777777" w:rsidR="004A36FB" w:rsidRDefault="004A36FB" w:rsidP="004A36FB">
      <w:pPr>
        <w:pStyle w:val="B1"/>
      </w:pPr>
      <w:r>
        <w:t>Q2)</w:t>
      </w:r>
      <w:r>
        <w:tab/>
        <w:t xml:space="preserve">For non-transparent data for </w:t>
      </w:r>
      <w:proofErr w:type="spellStart"/>
      <w:r>
        <w:t>Sh</w:t>
      </w:r>
      <w:proofErr w:type="spellEnd"/>
      <w:r>
        <w:t>; what is the impact of splitting UE context data from subscription data?</w:t>
      </w:r>
    </w:p>
    <w:p w14:paraId="66AE9D3E" w14:textId="5855A0AB" w:rsidR="004A36FB" w:rsidRDefault="004A36FB" w:rsidP="004A36FB">
      <w:pPr>
        <w:pStyle w:val="B1"/>
      </w:pPr>
      <w:r>
        <w:t>Answer:</w:t>
      </w:r>
      <w:r w:rsidR="008F402C">
        <w:t xml:space="preserve"> </w:t>
      </w:r>
      <w:r w:rsidR="009A3D0E">
        <w:t>Defining separate services (</w:t>
      </w:r>
      <w:proofErr w:type="spellStart"/>
      <w:r w:rsidR="009A3D0E">
        <w:t>Nudm_Sh_SDM</w:t>
      </w:r>
      <w:proofErr w:type="spellEnd"/>
      <w:r w:rsidR="009A3D0E">
        <w:t xml:space="preserve">, </w:t>
      </w:r>
      <w:proofErr w:type="spellStart"/>
      <w:r w:rsidR="009A3D0E">
        <w:t>Nudm_Sh_UECM</w:t>
      </w:r>
      <w:proofErr w:type="spellEnd"/>
      <w:r w:rsidR="009A3D0E">
        <w:t>) for subscription data / context data does not allow retrieval of both with a single Get request</w:t>
      </w:r>
      <w:r w:rsidR="0052541A">
        <w:t xml:space="preserve">, </w:t>
      </w:r>
      <w:bookmarkStart w:id="1" w:name="_Hlk3804146"/>
      <w:r w:rsidR="0052541A">
        <w:t>however, this impact does not justify to interdict the splitting of UE context data from subscription data</w:t>
      </w:r>
      <w:r w:rsidR="009A3D0E">
        <w:t>.</w:t>
      </w:r>
    </w:p>
    <w:bookmarkEnd w:id="1"/>
    <w:p w14:paraId="71BD9F1E" w14:textId="77777777" w:rsidR="004A36FB" w:rsidRDefault="004A36FB" w:rsidP="004A36FB">
      <w:pPr>
        <w:pStyle w:val="B1"/>
      </w:pPr>
    </w:p>
    <w:p w14:paraId="53D33A79" w14:textId="77777777" w:rsidR="004A36FB" w:rsidRDefault="004A36FB" w:rsidP="004A36FB">
      <w:pPr>
        <w:pStyle w:val="B1"/>
      </w:pPr>
      <w:r>
        <w:t>Q3)</w:t>
      </w:r>
      <w:r>
        <w:tab/>
        <w:t xml:space="preserve">On the matter of CSCF interaction with the IMS-HSS, one solution has suggested using implicit subscription instead of explicit subscription. What are the stage 3 benefits and impacts of specifying implicit subscription?  </w:t>
      </w:r>
    </w:p>
    <w:p w14:paraId="4C3BCF7C" w14:textId="31A0AFDE" w:rsidR="004A36FB" w:rsidRDefault="004A36FB">
      <w:pPr>
        <w:pStyle w:val="Header"/>
        <w:tabs>
          <w:tab w:val="clear" w:pos="4153"/>
          <w:tab w:val="clear" w:pos="8306"/>
        </w:tabs>
        <w:rPr>
          <w:rFonts w:ascii="Arial" w:hAnsi="Arial" w:cs="Arial"/>
        </w:rPr>
      </w:pPr>
      <w:r>
        <w:rPr>
          <w:rFonts w:ascii="Arial" w:hAnsi="Arial" w:cs="Arial"/>
        </w:rPr>
        <w:t>Answer:</w:t>
      </w:r>
      <w:r w:rsidR="003F7665">
        <w:rPr>
          <w:rFonts w:ascii="Arial" w:hAnsi="Arial" w:cs="Arial"/>
        </w:rPr>
        <w:t xml:space="preserve"> Within one service (e.g. </w:t>
      </w:r>
      <w:proofErr w:type="spellStart"/>
      <w:r w:rsidR="003F7665">
        <w:rPr>
          <w:rFonts w:ascii="Arial" w:hAnsi="Arial" w:cs="Arial"/>
        </w:rPr>
        <w:t>Nhss_ims_UECM</w:t>
      </w:r>
      <w:proofErr w:type="spellEnd"/>
      <w:r w:rsidR="003F7665">
        <w:rPr>
          <w:rFonts w:ascii="Arial" w:hAnsi="Arial" w:cs="Arial"/>
        </w:rPr>
        <w:t>) one operation (e.g. Registration) could imply a subscription to notifications (e.g. subscription to deregistration notifications</w:t>
      </w:r>
      <w:r w:rsidR="009D5856">
        <w:rPr>
          <w:rFonts w:ascii="Arial" w:hAnsi="Arial" w:cs="Arial"/>
        </w:rPr>
        <w:t>)</w:t>
      </w:r>
      <w:r w:rsidR="003F7665">
        <w:rPr>
          <w:rFonts w:ascii="Arial" w:hAnsi="Arial" w:cs="Arial"/>
        </w:rPr>
        <w:t xml:space="preserve">. </w:t>
      </w:r>
      <w:r w:rsidR="009D5856">
        <w:rPr>
          <w:rFonts w:ascii="Arial" w:hAnsi="Arial" w:cs="Arial"/>
        </w:rPr>
        <w:t>The benefit is that only one message is sent for two operations</w:t>
      </w:r>
      <w:r w:rsidR="00312B9A">
        <w:rPr>
          <w:rFonts w:ascii="Arial" w:hAnsi="Arial" w:cs="Arial"/>
        </w:rPr>
        <w:t xml:space="preserve"> (Registration + Subscription</w:t>
      </w:r>
      <w:r w:rsidR="007204EF">
        <w:rPr>
          <w:rFonts w:ascii="Arial" w:hAnsi="Arial" w:cs="Arial"/>
        </w:rPr>
        <w:t>), as the subscription is implied by the registration</w:t>
      </w:r>
      <w:r w:rsidR="009D5856">
        <w:rPr>
          <w:rFonts w:ascii="Arial" w:hAnsi="Arial" w:cs="Arial"/>
        </w:rPr>
        <w:t>. Note that the two operations cannot belong to two different services</w:t>
      </w:r>
      <w:r w:rsidR="00CF049A">
        <w:rPr>
          <w:rFonts w:ascii="Arial" w:hAnsi="Arial" w:cs="Arial"/>
        </w:rPr>
        <w:t>, and that a sa</w:t>
      </w:r>
      <w:r w:rsidR="0065526C">
        <w:rPr>
          <w:rFonts w:ascii="Arial" w:hAnsi="Arial" w:cs="Arial"/>
        </w:rPr>
        <w:t>f</w:t>
      </w:r>
      <w:r w:rsidR="00CF049A">
        <w:rPr>
          <w:rFonts w:ascii="Arial" w:hAnsi="Arial" w:cs="Arial"/>
        </w:rPr>
        <w:t>e HTTP method (e.g. GET) cannot imply a subscription to notifications</w:t>
      </w:r>
      <w:r w:rsidR="009D5856">
        <w:rPr>
          <w:rFonts w:ascii="Arial" w:hAnsi="Arial" w:cs="Arial"/>
        </w:rPr>
        <w:t>.</w:t>
      </w:r>
    </w:p>
    <w:p w14:paraId="1534A1F0" w14:textId="1F354291" w:rsidR="004A36FB" w:rsidRDefault="004A36FB">
      <w:pPr>
        <w:pStyle w:val="Header"/>
        <w:tabs>
          <w:tab w:val="clear" w:pos="4153"/>
          <w:tab w:val="clear" w:pos="8306"/>
        </w:tabs>
        <w:rPr>
          <w:rFonts w:ascii="Arial" w:hAnsi="Arial" w:cs="Arial"/>
        </w:rPr>
      </w:pPr>
    </w:p>
    <w:p w14:paraId="59476800" w14:textId="77777777" w:rsidR="004A36FB" w:rsidRPr="000F4E43" w:rsidRDefault="004A36F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4CFA2AD2" w14:textId="5AD031C7" w:rsidR="00463675" w:rsidRPr="004A36FB" w:rsidRDefault="002C2592">
      <w:pPr>
        <w:spacing w:after="120"/>
        <w:ind w:left="993" w:hanging="993"/>
        <w:rPr>
          <w:rFonts w:ascii="Arial" w:hAnsi="Arial" w:cs="Arial"/>
        </w:rPr>
      </w:pPr>
      <w:r w:rsidRPr="004A36FB">
        <w:rPr>
          <w:rFonts w:ascii="Arial" w:hAnsi="Arial" w:cs="Arial"/>
        </w:rPr>
        <w:t xml:space="preserve">CT4 kindly ask SA2 to take the above information into account when completing normative stage 2 work on </w:t>
      </w:r>
      <w:r w:rsidR="008329FE" w:rsidRPr="004A36FB">
        <w:rPr>
          <w:rFonts w:ascii="Arial" w:hAnsi="Arial" w:cs="Arial"/>
        </w:rPr>
        <w:t>eIMS5G</w:t>
      </w:r>
      <w:r w:rsidR="00463675" w:rsidRPr="004A36FB">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122A24B" w14:textId="596A8309" w:rsidR="00463675" w:rsidRDefault="00F0649B">
      <w:pPr>
        <w:tabs>
          <w:tab w:val="left" w:pos="5103"/>
        </w:tabs>
        <w:spacing w:after="120"/>
        <w:ind w:left="2268" w:hanging="2268"/>
        <w:rPr>
          <w:rFonts w:ascii="Arial" w:hAnsi="Arial" w:cs="Arial"/>
          <w:bCs/>
        </w:rPr>
      </w:pPr>
      <w:r w:rsidRPr="00F0649B">
        <w:rPr>
          <w:rFonts w:ascii="Arial" w:hAnsi="Arial" w:cs="Arial"/>
          <w:bCs/>
        </w:rPr>
        <w:t>3GPP TSG CT4#91</w:t>
      </w:r>
      <w:r w:rsidR="00463675" w:rsidRPr="00F0649B">
        <w:rPr>
          <w:rFonts w:ascii="Arial" w:hAnsi="Arial" w:cs="Arial"/>
          <w:bCs/>
        </w:rPr>
        <w:tab/>
      </w:r>
      <w:r w:rsidRPr="00F0649B">
        <w:rPr>
          <w:rFonts w:ascii="Arial" w:hAnsi="Arial" w:cs="Arial"/>
          <w:bCs/>
        </w:rPr>
        <w:tab/>
        <w:t>13</w:t>
      </w:r>
      <w:r w:rsidRPr="00F0649B">
        <w:rPr>
          <w:rFonts w:ascii="Arial" w:hAnsi="Arial" w:cs="Arial"/>
          <w:bCs/>
          <w:vertAlign w:val="superscript"/>
        </w:rPr>
        <w:t>th</w:t>
      </w:r>
      <w:r w:rsidRPr="00F0649B">
        <w:rPr>
          <w:rFonts w:ascii="Arial" w:hAnsi="Arial" w:cs="Arial"/>
          <w:bCs/>
        </w:rPr>
        <w:t xml:space="preserve"> – 17</w:t>
      </w:r>
      <w:r w:rsidRPr="00F0649B">
        <w:rPr>
          <w:rFonts w:ascii="Arial" w:hAnsi="Arial" w:cs="Arial"/>
          <w:bCs/>
          <w:vertAlign w:val="superscript"/>
        </w:rPr>
        <w:t>th</w:t>
      </w:r>
      <w:r w:rsidRPr="00F0649B">
        <w:rPr>
          <w:rFonts w:ascii="Arial" w:hAnsi="Arial" w:cs="Arial"/>
          <w:bCs/>
        </w:rPr>
        <w:t xml:space="preserve"> May 2019</w:t>
      </w:r>
      <w:r w:rsidR="00463675" w:rsidRPr="00F0649B">
        <w:rPr>
          <w:rFonts w:ascii="Arial" w:hAnsi="Arial" w:cs="Arial"/>
          <w:bCs/>
        </w:rPr>
        <w:tab/>
      </w:r>
      <w:r w:rsidR="00A7348D">
        <w:rPr>
          <w:rFonts w:ascii="Arial" w:hAnsi="Arial" w:cs="Arial"/>
          <w:bCs/>
        </w:rPr>
        <w:t>Reno, US</w:t>
      </w:r>
    </w:p>
    <w:p w14:paraId="0D68A011" w14:textId="5101E601" w:rsidR="00A7348D" w:rsidRPr="00F0649B" w:rsidRDefault="00A7348D" w:rsidP="00A7348D">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3</w:t>
      </w:r>
      <w:r w:rsidRPr="00F0649B">
        <w:rPr>
          <w:rFonts w:ascii="Arial" w:hAnsi="Arial" w:cs="Arial"/>
          <w:bCs/>
        </w:rPr>
        <w:tab/>
      </w:r>
      <w:r w:rsidRPr="00F0649B">
        <w:rPr>
          <w:rFonts w:ascii="Arial" w:hAnsi="Arial" w:cs="Arial"/>
          <w:bCs/>
        </w:rPr>
        <w:tab/>
      </w:r>
      <w:r>
        <w:rPr>
          <w:rFonts w:ascii="Arial" w:hAnsi="Arial" w:cs="Arial"/>
          <w:bCs/>
        </w:rPr>
        <w:t>26</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30</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August</w:t>
      </w:r>
      <w:r w:rsidRPr="00F0649B">
        <w:rPr>
          <w:rFonts w:ascii="Arial" w:hAnsi="Arial" w:cs="Arial"/>
          <w:bCs/>
        </w:rPr>
        <w:t xml:space="preserve"> 2019</w:t>
      </w:r>
      <w:r w:rsidRPr="00F0649B">
        <w:rPr>
          <w:rFonts w:ascii="Arial" w:hAnsi="Arial" w:cs="Arial"/>
          <w:bCs/>
        </w:rPr>
        <w:tab/>
      </w:r>
      <w:r>
        <w:rPr>
          <w:rFonts w:ascii="Arial" w:hAnsi="Arial" w:cs="Arial"/>
          <w:bCs/>
        </w:rPr>
        <w:t>Wroclaw, Poland</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80286" w14:textId="77777777" w:rsidR="00D94A6B" w:rsidRDefault="00D94A6B">
      <w:r>
        <w:separator/>
      </w:r>
    </w:p>
  </w:endnote>
  <w:endnote w:type="continuationSeparator" w:id="0">
    <w:p w14:paraId="66C9D9BE" w14:textId="77777777" w:rsidR="00D94A6B" w:rsidRDefault="00D9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44CAA" w14:textId="77777777" w:rsidR="00D94A6B" w:rsidRDefault="00D94A6B">
      <w:r>
        <w:separator/>
      </w:r>
    </w:p>
  </w:footnote>
  <w:footnote w:type="continuationSeparator" w:id="0">
    <w:p w14:paraId="56FF9A79" w14:textId="77777777" w:rsidR="00D94A6B" w:rsidRDefault="00D94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97D1A"/>
    <w:rsid w:val="000E296A"/>
    <w:rsid w:val="000F4E43"/>
    <w:rsid w:val="00130BF1"/>
    <w:rsid w:val="00156F6F"/>
    <w:rsid w:val="00174BC5"/>
    <w:rsid w:val="00193DB9"/>
    <w:rsid w:val="001F3893"/>
    <w:rsid w:val="002743CC"/>
    <w:rsid w:val="002C2592"/>
    <w:rsid w:val="00312B9A"/>
    <w:rsid w:val="00327438"/>
    <w:rsid w:val="0036163E"/>
    <w:rsid w:val="0036456C"/>
    <w:rsid w:val="003F7665"/>
    <w:rsid w:val="00463675"/>
    <w:rsid w:val="004A36FB"/>
    <w:rsid w:val="0052541A"/>
    <w:rsid w:val="0055610E"/>
    <w:rsid w:val="00567BD3"/>
    <w:rsid w:val="00584B08"/>
    <w:rsid w:val="005A62AF"/>
    <w:rsid w:val="005D61F9"/>
    <w:rsid w:val="005F3573"/>
    <w:rsid w:val="0065526C"/>
    <w:rsid w:val="007204EF"/>
    <w:rsid w:val="00726FC3"/>
    <w:rsid w:val="0077485D"/>
    <w:rsid w:val="008329FE"/>
    <w:rsid w:val="008F402C"/>
    <w:rsid w:val="00923E7C"/>
    <w:rsid w:val="00924DF5"/>
    <w:rsid w:val="00996F2B"/>
    <w:rsid w:val="009A3D0E"/>
    <w:rsid w:val="009D5856"/>
    <w:rsid w:val="00A7348D"/>
    <w:rsid w:val="00B11260"/>
    <w:rsid w:val="00BD0DEE"/>
    <w:rsid w:val="00BD423F"/>
    <w:rsid w:val="00CA2FB0"/>
    <w:rsid w:val="00CA6BED"/>
    <w:rsid w:val="00CF049A"/>
    <w:rsid w:val="00D068A7"/>
    <w:rsid w:val="00D94A6B"/>
    <w:rsid w:val="00DF6124"/>
    <w:rsid w:val="00E20604"/>
    <w:rsid w:val="00E230F6"/>
    <w:rsid w:val="00E669DC"/>
    <w:rsid w:val="00F0649B"/>
    <w:rsid w:val="00F20CD7"/>
    <w:rsid w:val="00F3585F"/>
    <w:rsid w:val="00F46D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0592820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407</Words>
  <Characters>2292</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LS template for N3</vt:lpstr>
      <vt:lpstr>Xi'an, P.R.China; 08th – 12th April 2019</vt:lpstr>
      <vt:lpstr>Title:	LS on Status of FS_eIMS5G</vt:lpstr>
      <vt:lpstr>Response to:	LS (S2-1901397) on Status of FS_eIMS5G from SA2</vt:lpstr>
      <vt:lpstr>Release:	Release 16</vt:lpstr>
      <vt:lpstr>Work Item:	FS_eIMS5G</vt:lpstr>
      <vt:lpstr>Attachments:	None</vt:lpstr>
    </vt:vector>
  </TitlesOfParts>
  <Company>ETSI Sophia Antipolis</Company>
  <LinksUpToDate>false</LinksUpToDate>
  <CharactersWithSpaces>2694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3</cp:revision>
  <cp:lastPrinted>2002-04-23T07:10:00Z</cp:lastPrinted>
  <dcterms:created xsi:type="dcterms:W3CDTF">2019-04-08T06:31:00Z</dcterms:created>
  <dcterms:modified xsi:type="dcterms:W3CDTF">2019-04-08T06:31:00Z</dcterms:modified>
</cp:coreProperties>
</file>